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6B7" w:rsidRDefault="008506B7" w:rsidP="00C734A6">
      <w:pPr>
        <w:rPr>
          <w:rFonts w:ascii="Arial" w:hAnsi="Arial" w:cs="Arial"/>
          <w:sz w:val="20"/>
          <w:szCs w:val="20"/>
        </w:rPr>
      </w:pPr>
    </w:p>
    <w:p w:rsidR="008506B7" w:rsidRPr="002221F5" w:rsidRDefault="008506B7" w:rsidP="00C734A6">
      <w:pPr>
        <w:rPr>
          <w:rFonts w:ascii="Arial" w:hAnsi="Arial" w:cs="Arial"/>
          <w:b/>
          <w:sz w:val="36"/>
          <w:szCs w:val="36"/>
        </w:rPr>
      </w:pPr>
      <w:r w:rsidRPr="002221F5">
        <w:rPr>
          <w:rFonts w:ascii="Arial" w:hAnsi="Arial" w:cs="Arial"/>
          <w:b/>
          <w:sz w:val="36"/>
          <w:szCs w:val="36"/>
        </w:rPr>
        <w:t xml:space="preserve">Cargill Protein Headquarters &amp; Sustainability </w:t>
      </w:r>
    </w:p>
    <w:p w:rsidR="00507E83" w:rsidRPr="00502554" w:rsidRDefault="00507E83" w:rsidP="00C734A6">
      <w:pPr>
        <w:rPr>
          <w:rFonts w:ascii="Arial" w:hAnsi="Arial" w:cs="Arial"/>
          <w:sz w:val="20"/>
          <w:szCs w:val="20"/>
        </w:rPr>
      </w:pPr>
      <w:r w:rsidRPr="00502554">
        <w:rPr>
          <w:rFonts w:ascii="Arial" w:hAnsi="Arial" w:cs="Arial"/>
          <w:sz w:val="20"/>
          <w:szCs w:val="20"/>
        </w:rPr>
        <w:t xml:space="preserve">Cargill Protein is committed to preserving the environment and proud to be making progress towards its sustainability goals. An emphasis on Cargill’s aspirational and directional focus on sustainability was incorporated in the design of the new Cargill Protein headquarters. </w:t>
      </w:r>
      <w:r w:rsidR="0008151C" w:rsidRPr="00502554">
        <w:rPr>
          <w:rFonts w:ascii="Arial" w:hAnsi="Arial" w:cs="Arial"/>
          <w:sz w:val="20"/>
          <w:szCs w:val="20"/>
        </w:rPr>
        <w:t xml:space="preserve">The building was constructed with hundreds of thousands of pounds of recycled content, and the design reduces energy and water consumption while also improving the indoor environmental quality of the facility. </w:t>
      </w:r>
    </w:p>
    <w:p w:rsidR="0008151C" w:rsidRPr="00502554" w:rsidRDefault="0008151C" w:rsidP="00C734A6">
      <w:pPr>
        <w:rPr>
          <w:rFonts w:ascii="Arial" w:hAnsi="Arial" w:cs="Arial"/>
          <w:b/>
          <w:sz w:val="20"/>
          <w:szCs w:val="20"/>
          <w:u w:val="single"/>
        </w:rPr>
      </w:pPr>
      <w:r w:rsidRPr="00502554">
        <w:rPr>
          <w:rFonts w:ascii="Arial" w:hAnsi="Arial" w:cs="Arial"/>
          <w:b/>
          <w:sz w:val="20"/>
          <w:szCs w:val="20"/>
          <w:u w:val="single"/>
        </w:rPr>
        <w:t>Materials and Resources</w:t>
      </w:r>
    </w:p>
    <w:p w:rsidR="00D31F44" w:rsidRPr="00502554" w:rsidRDefault="0008151C" w:rsidP="00C734A6">
      <w:pPr>
        <w:spacing w:after="0"/>
        <w:rPr>
          <w:rFonts w:ascii="Arial" w:hAnsi="Arial" w:cs="Arial"/>
          <w:sz w:val="20"/>
          <w:szCs w:val="20"/>
        </w:rPr>
      </w:pPr>
      <w:r w:rsidRPr="00502554">
        <w:rPr>
          <w:rFonts w:ascii="Arial" w:hAnsi="Arial" w:cs="Arial"/>
          <w:sz w:val="20"/>
          <w:szCs w:val="20"/>
        </w:rPr>
        <w:t>Preference was given during design to materials with high recycled content, and reclaimed wood and other reclaimed materials were</w:t>
      </w:r>
      <w:r w:rsidR="00D76003" w:rsidRPr="00502554">
        <w:rPr>
          <w:rFonts w:ascii="Arial" w:hAnsi="Arial" w:cs="Arial"/>
          <w:sz w:val="20"/>
          <w:szCs w:val="20"/>
        </w:rPr>
        <w:t xml:space="preserve"> used</w:t>
      </w:r>
      <w:r w:rsidRPr="00502554">
        <w:rPr>
          <w:rFonts w:ascii="Arial" w:hAnsi="Arial" w:cs="Arial"/>
          <w:sz w:val="20"/>
          <w:szCs w:val="20"/>
        </w:rPr>
        <w:t xml:space="preserve">. </w:t>
      </w:r>
    </w:p>
    <w:p w:rsidR="00D31F44" w:rsidRPr="00502554" w:rsidRDefault="00D31F44" w:rsidP="00C734A6">
      <w:pPr>
        <w:spacing w:after="0"/>
        <w:rPr>
          <w:rFonts w:ascii="Arial" w:hAnsi="Arial" w:cs="Arial"/>
          <w:sz w:val="20"/>
          <w:szCs w:val="20"/>
        </w:rPr>
      </w:pPr>
    </w:p>
    <w:p w:rsidR="0008151C" w:rsidRPr="00502554" w:rsidRDefault="0008151C" w:rsidP="00C734A6">
      <w:pPr>
        <w:pStyle w:val="ListParagraph"/>
        <w:numPr>
          <w:ilvl w:val="0"/>
          <w:numId w:val="2"/>
        </w:numPr>
        <w:spacing w:after="0"/>
        <w:rPr>
          <w:rFonts w:ascii="Arial" w:hAnsi="Arial" w:cs="Arial"/>
          <w:sz w:val="20"/>
          <w:szCs w:val="20"/>
        </w:rPr>
      </w:pPr>
      <w:r w:rsidRPr="00502554">
        <w:rPr>
          <w:rFonts w:ascii="Arial" w:hAnsi="Arial" w:cs="Arial"/>
          <w:sz w:val="20"/>
          <w:szCs w:val="20"/>
        </w:rPr>
        <w:t>706,600 pounds of recycled content was used, or about the weight of 294 bulls or 442 cows</w:t>
      </w:r>
    </w:p>
    <w:p w:rsidR="00D76003" w:rsidRPr="00502554" w:rsidRDefault="0008151C" w:rsidP="00C734A6">
      <w:pPr>
        <w:pStyle w:val="ListParagraph"/>
        <w:numPr>
          <w:ilvl w:val="0"/>
          <w:numId w:val="2"/>
        </w:numPr>
        <w:spacing w:after="0"/>
        <w:rPr>
          <w:rFonts w:ascii="Arial" w:hAnsi="Arial" w:cs="Arial"/>
          <w:sz w:val="20"/>
          <w:szCs w:val="20"/>
        </w:rPr>
      </w:pPr>
      <w:r w:rsidRPr="00502554">
        <w:rPr>
          <w:rFonts w:ascii="Arial" w:hAnsi="Arial" w:cs="Arial"/>
          <w:sz w:val="20"/>
          <w:szCs w:val="20"/>
        </w:rPr>
        <w:t>468,400 pounds of recyclable content was used, or about 195 bulls or 293 cows</w:t>
      </w:r>
    </w:p>
    <w:p w:rsidR="00D76003" w:rsidRPr="00502554" w:rsidRDefault="00D76003" w:rsidP="00C734A6">
      <w:pPr>
        <w:pStyle w:val="ListParagraph"/>
        <w:spacing w:after="0"/>
        <w:rPr>
          <w:rFonts w:ascii="Arial" w:hAnsi="Arial" w:cs="Arial"/>
          <w:sz w:val="20"/>
          <w:szCs w:val="20"/>
        </w:rPr>
      </w:pPr>
    </w:p>
    <w:p w:rsidR="007E23BB" w:rsidRPr="00502554" w:rsidRDefault="007E23BB" w:rsidP="00C734A6">
      <w:pPr>
        <w:rPr>
          <w:rFonts w:ascii="Arial" w:hAnsi="Arial" w:cs="Arial"/>
          <w:sz w:val="20"/>
          <w:szCs w:val="20"/>
        </w:rPr>
      </w:pPr>
      <w:r w:rsidRPr="00502554">
        <w:rPr>
          <w:rFonts w:ascii="Arial" w:hAnsi="Arial" w:cs="Arial"/>
          <w:sz w:val="20"/>
          <w:szCs w:val="20"/>
        </w:rPr>
        <w:t xml:space="preserve">Cargill Protein also encourages employees to do what they can to meet sustainable goals. Recycling bins and water stations are conveniently located throughout the new building to encourage recycling and drinking from reusable water bottles. </w:t>
      </w:r>
    </w:p>
    <w:p w:rsidR="001E1B80" w:rsidRPr="00502554" w:rsidRDefault="001E1B80" w:rsidP="00C734A6">
      <w:pPr>
        <w:rPr>
          <w:rFonts w:ascii="Arial" w:hAnsi="Arial" w:cs="Arial"/>
          <w:b/>
          <w:sz w:val="20"/>
          <w:szCs w:val="20"/>
          <w:u w:val="single"/>
        </w:rPr>
      </w:pPr>
      <w:r w:rsidRPr="00502554">
        <w:rPr>
          <w:rFonts w:ascii="Arial" w:hAnsi="Arial" w:cs="Arial"/>
          <w:b/>
          <w:sz w:val="20"/>
          <w:szCs w:val="20"/>
          <w:u w:val="single"/>
        </w:rPr>
        <w:t>The Site and Landscape</w:t>
      </w:r>
    </w:p>
    <w:p w:rsidR="00502554" w:rsidRDefault="001E1B80" w:rsidP="00210DA1">
      <w:pPr>
        <w:spacing w:before="80" w:after="0"/>
        <w:ind w:left="360"/>
        <w:rPr>
          <w:rFonts w:ascii="Arial" w:hAnsi="Arial" w:cs="Arial"/>
          <w:sz w:val="20"/>
          <w:szCs w:val="20"/>
        </w:rPr>
      </w:pPr>
      <w:r w:rsidRPr="00502554">
        <w:rPr>
          <w:rFonts w:ascii="Arial" w:hAnsi="Arial" w:cs="Arial"/>
          <w:b/>
          <w:sz w:val="20"/>
          <w:szCs w:val="20"/>
        </w:rPr>
        <w:t>Urban site selection</w:t>
      </w:r>
    </w:p>
    <w:p w:rsidR="001E1B80" w:rsidRPr="00502554" w:rsidRDefault="001E1B80" w:rsidP="00210DA1">
      <w:pPr>
        <w:spacing w:after="0"/>
        <w:ind w:left="360"/>
        <w:rPr>
          <w:rFonts w:ascii="Arial" w:hAnsi="Arial" w:cs="Arial"/>
          <w:sz w:val="20"/>
          <w:szCs w:val="20"/>
        </w:rPr>
      </w:pPr>
      <w:r w:rsidRPr="00502554">
        <w:rPr>
          <w:rFonts w:ascii="Arial" w:hAnsi="Arial" w:cs="Arial"/>
          <w:sz w:val="20"/>
          <w:szCs w:val="20"/>
        </w:rPr>
        <w:t>The project was constructed on a previously de</w:t>
      </w:r>
      <w:r w:rsidR="00502554" w:rsidRPr="00502554">
        <w:rPr>
          <w:rFonts w:ascii="Arial" w:hAnsi="Arial" w:cs="Arial"/>
          <w:sz w:val="20"/>
          <w:szCs w:val="20"/>
        </w:rPr>
        <w:t>veloped site near public transpo</w:t>
      </w:r>
      <w:r w:rsidRPr="00502554">
        <w:rPr>
          <w:rFonts w:ascii="Arial" w:hAnsi="Arial" w:cs="Arial"/>
          <w:sz w:val="20"/>
          <w:szCs w:val="20"/>
        </w:rPr>
        <w:t>r</w:t>
      </w:r>
      <w:r w:rsidR="00502554" w:rsidRPr="00502554">
        <w:rPr>
          <w:rFonts w:ascii="Arial" w:hAnsi="Arial" w:cs="Arial"/>
          <w:sz w:val="20"/>
          <w:szCs w:val="20"/>
        </w:rPr>
        <w:t>t</w:t>
      </w:r>
      <w:r w:rsidRPr="00502554">
        <w:rPr>
          <w:rFonts w:ascii="Arial" w:hAnsi="Arial" w:cs="Arial"/>
          <w:sz w:val="20"/>
          <w:szCs w:val="20"/>
        </w:rPr>
        <w:t xml:space="preserve">ation and many amenities. </w:t>
      </w:r>
    </w:p>
    <w:p w:rsidR="00502554" w:rsidRDefault="001E1B80" w:rsidP="00210DA1">
      <w:pPr>
        <w:spacing w:before="80" w:after="0"/>
        <w:ind w:left="360"/>
        <w:rPr>
          <w:rFonts w:ascii="Arial" w:hAnsi="Arial" w:cs="Arial"/>
          <w:b/>
          <w:sz w:val="20"/>
          <w:szCs w:val="20"/>
        </w:rPr>
      </w:pPr>
      <w:r w:rsidRPr="00502554">
        <w:rPr>
          <w:rFonts w:ascii="Arial" w:hAnsi="Arial" w:cs="Arial"/>
          <w:b/>
          <w:sz w:val="20"/>
          <w:szCs w:val="20"/>
        </w:rPr>
        <w:t>Trans</w:t>
      </w:r>
      <w:r w:rsidR="00502554">
        <w:rPr>
          <w:rFonts w:ascii="Arial" w:hAnsi="Arial" w:cs="Arial"/>
          <w:b/>
          <w:sz w:val="20"/>
          <w:szCs w:val="20"/>
        </w:rPr>
        <w:t>forming hardscape to greenscape</w:t>
      </w:r>
    </w:p>
    <w:p w:rsidR="001E1B80" w:rsidRPr="00502554" w:rsidRDefault="001E1B80" w:rsidP="00210DA1">
      <w:pPr>
        <w:spacing w:after="0"/>
        <w:ind w:left="360"/>
        <w:rPr>
          <w:rFonts w:ascii="Arial" w:hAnsi="Arial" w:cs="Arial"/>
          <w:sz w:val="20"/>
          <w:szCs w:val="20"/>
        </w:rPr>
      </w:pPr>
      <w:r w:rsidRPr="00502554">
        <w:rPr>
          <w:rFonts w:ascii="Arial" w:hAnsi="Arial" w:cs="Arial"/>
          <w:sz w:val="20"/>
          <w:szCs w:val="20"/>
        </w:rPr>
        <w:t xml:space="preserve">Prior to construction, the site was </w:t>
      </w:r>
      <w:r w:rsidR="00502554" w:rsidRPr="00502554">
        <w:rPr>
          <w:rFonts w:ascii="Arial" w:hAnsi="Arial" w:cs="Arial"/>
          <w:sz w:val="20"/>
          <w:szCs w:val="20"/>
        </w:rPr>
        <w:t>nearly</w:t>
      </w:r>
      <w:r w:rsidRPr="00502554">
        <w:rPr>
          <w:rFonts w:ascii="Arial" w:hAnsi="Arial" w:cs="Arial"/>
          <w:sz w:val="20"/>
          <w:szCs w:val="20"/>
        </w:rPr>
        <w:t xml:space="preserve"> fully covered with hardscape and an existing building which was a strain on the local storm</w:t>
      </w:r>
      <w:r w:rsidR="009A76DA" w:rsidRPr="00502554">
        <w:rPr>
          <w:rFonts w:ascii="Arial" w:hAnsi="Arial" w:cs="Arial"/>
          <w:sz w:val="20"/>
          <w:szCs w:val="20"/>
        </w:rPr>
        <w:t xml:space="preserve"> </w:t>
      </w:r>
      <w:r w:rsidRPr="00502554">
        <w:rPr>
          <w:rFonts w:ascii="Arial" w:hAnsi="Arial" w:cs="Arial"/>
          <w:sz w:val="20"/>
          <w:szCs w:val="20"/>
        </w:rPr>
        <w:t>water system. The new Cargill headquarters reduces the hardscape and adds landscaping to help rainwater infiltration and promote vegetation rather than letting water rush into the storm drain. The added landscape serves as an amenity for the occupants and community, while fostering the local ecology.</w:t>
      </w:r>
      <w:r w:rsidRPr="00502554">
        <w:rPr>
          <w:rFonts w:ascii="Arial" w:hAnsi="Arial" w:cs="Arial"/>
          <w:sz w:val="20"/>
          <w:szCs w:val="20"/>
          <w:shd w:val="clear" w:color="auto" w:fill="FAFAFA"/>
        </w:rPr>
        <w:t xml:space="preserve"> </w:t>
      </w:r>
    </w:p>
    <w:p w:rsidR="00502554" w:rsidRDefault="00502554" w:rsidP="00210DA1">
      <w:pPr>
        <w:spacing w:before="80" w:after="0"/>
        <w:ind w:left="360"/>
        <w:rPr>
          <w:rFonts w:ascii="Arial" w:hAnsi="Arial" w:cs="Arial"/>
          <w:b/>
          <w:sz w:val="20"/>
          <w:szCs w:val="20"/>
          <w:shd w:val="clear" w:color="auto" w:fill="FAFAFA"/>
        </w:rPr>
      </w:pPr>
      <w:r>
        <w:rPr>
          <w:rFonts w:ascii="Arial" w:hAnsi="Arial" w:cs="Arial"/>
          <w:b/>
          <w:sz w:val="20"/>
          <w:szCs w:val="20"/>
          <w:shd w:val="clear" w:color="auto" w:fill="FAFAFA"/>
        </w:rPr>
        <w:t>Energy efficient roof</w:t>
      </w:r>
    </w:p>
    <w:p w:rsidR="001E1B80" w:rsidRPr="00502554" w:rsidRDefault="001E1B80" w:rsidP="00210DA1">
      <w:pPr>
        <w:spacing w:after="0"/>
        <w:ind w:left="360"/>
        <w:rPr>
          <w:rFonts w:ascii="Arial" w:hAnsi="Arial" w:cs="Arial"/>
          <w:sz w:val="20"/>
          <w:szCs w:val="20"/>
        </w:rPr>
      </w:pPr>
      <w:r w:rsidRPr="00502554">
        <w:rPr>
          <w:rFonts w:ascii="Arial" w:hAnsi="Arial" w:cs="Arial"/>
          <w:sz w:val="20"/>
          <w:szCs w:val="20"/>
        </w:rPr>
        <w:t>The roof is a highly reflective material, so that the heat from the sun is radiated back up and helps mitigate the urban heat island effect.</w:t>
      </w:r>
    </w:p>
    <w:p w:rsidR="00502554" w:rsidRDefault="001E1B80" w:rsidP="00210DA1">
      <w:pPr>
        <w:spacing w:before="80" w:after="0"/>
        <w:ind w:left="360"/>
        <w:rPr>
          <w:rFonts w:ascii="Arial" w:hAnsi="Arial" w:cs="Arial"/>
          <w:sz w:val="20"/>
          <w:szCs w:val="20"/>
        </w:rPr>
      </w:pPr>
      <w:r w:rsidRPr="00502554">
        <w:rPr>
          <w:rFonts w:ascii="Arial" w:hAnsi="Arial" w:cs="Arial"/>
          <w:b/>
          <w:sz w:val="20"/>
          <w:szCs w:val="20"/>
        </w:rPr>
        <w:t>Bike racks and showers</w:t>
      </w:r>
    </w:p>
    <w:p w:rsidR="001E1B80" w:rsidRPr="00502554" w:rsidRDefault="001E1B80" w:rsidP="00210DA1">
      <w:pPr>
        <w:spacing w:after="0"/>
        <w:ind w:left="360"/>
        <w:rPr>
          <w:rFonts w:ascii="Arial" w:hAnsi="Arial" w:cs="Arial"/>
          <w:sz w:val="20"/>
          <w:szCs w:val="20"/>
        </w:rPr>
      </w:pPr>
      <w:r w:rsidRPr="00502554">
        <w:rPr>
          <w:rFonts w:ascii="Arial" w:hAnsi="Arial" w:cs="Arial"/>
          <w:sz w:val="20"/>
          <w:szCs w:val="20"/>
        </w:rPr>
        <w:t xml:space="preserve">Four showers are provided for employees that commute to work via bicycle. There is covered and protected bicycle storage on site in the parking garage. </w:t>
      </w:r>
    </w:p>
    <w:p w:rsidR="00502554" w:rsidRDefault="001E1B80" w:rsidP="00210DA1">
      <w:pPr>
        <w:spacing w:before="80" w:after="0"/>
        <w:ind w:left="360"/>
        <w:rPr>
          <w:rFonts w:ascii="Arial" w:hAnsi="Arial" w:cs="Arial"/>
          <w:sz w:val="20"/>
          <w:szCs w:val="20"/>
        </w:rPr>
      </w:pPr>
      <w:r w:rsidRPr="00502554">
        <w:rPr>
          <w:rFonts w:ascii="Arial" w:hAnsi="Arial" w:cs="Arial"/>
          <w:b/>
          <w:sz w:val="20"/>
          <w:szCs w:val="20"/>
        </w:rPr>
        <w:t>Nature Connection</w:t>
      </w:r>
    </w:p>
    <w:p w:rsidR="001E1B80" w:rsidRPr="00502554" w:rsidRDefault="001E1B80" w:rsidP="00210DA1">
      <w:pPr>
        <w:spacing w:after="0"/>
        <w:ind w:left="360"/>
        <w:rPr>
          <w:rFonts w:ascii="Arial" w:hAnsi="Arial" w:cs="Arial"/>
          <w:sz w:val="20"/>
          <w:szCs w:val="20"/>
        </w:rPr>
      </w:pPr>
      <w:r w:rsidRPr="00502554">
        <w:rPr>
          <w:rFonts w:ascii="Arial" w:hAnsi="Arial" w:cs="Arial"/>
          <w:sz w:val="20"/>
          <w:szCs w:val="20"/>
        </w:rPr>
        <w:t xml:space="preserve">Employees can enjoy a short walk through nature in the landscaped courtyard. Access to nature has proven benefits in reduced stress, reduced hypertension, and improved sleep patterns. </w:t>
      </w:r>
    </w:p>
    <w:p w:rsidR="00502554" w:rsidRDefault="00502554" w:rsidP="00C734A6">
      <w:pPr>
        <w:rPr>
          <w:rFonts w:ascii="Arial" w:hAnsi="Arial" w:cs="Arial"/>
          <w:b/>
          <w:sz w:val="20"/>
          <w:szCs w:val="20"/>
          <w:u w:val="single"/>
        </w:rPr>
      </w:pPr>
    </w:p>
    <w:p w:rsidR="009A76DA" w:rsidRPr="00502554" w:rsidRDefault="009A76DA" w:rsidP="00C734A6">
      <w:pPr>
        <w:rPr>
          <w:rFonts w:ascii="Arial" w:hAnsi="Arial" w:cs="Arial"/>
          <w:b/>
          <w:sz w:val="20"/>
          <w:szCs w:val="20"/>
          <w:u w:val="single"/>
        </w:rPr>
      </w:pPr>
      <w:r w:rsidRPr="00502554">
        <w:rPr>
          <w:rFonts w:ascii="Arial" w:hAnsi="Arial" w:cs="Arial"/>
          <w:b/>
          <w:sz w:val="20"/>
          <w:szCs w:val="20"/>
          <w:u w:val="single"/>
        </w:rPr>
        <w:t>Water Reduction</w:t>
      </w:r>
    </w:p>
    <w:p w:rsidR="00502554" w:rsidRDefault="009A76DA" w:rsidP="00210DA1">
      <w:pPr>
        <w:spacing w:after="0" w:line="240" w:lineRule="auto"/>
        <w:ind w:left="360"/>
        <w:rPr>
          <w:rFonts w:ascii="Arial" w:eastAsia="Times New Roman" w:hAnsi="Arial" w:cs="Arial"/>
          <w:sz w:val="20"/>
          <w:szCs w:val="20"/>
        </w:rPr>
      </w:pPr>
      <w:r w:rsidRPr="00502554">
        <w:rPr>
          <w:rFonts w:ascii="Arial" w:eastAsia="Times New Roman" w:hAnsi="Arial" w:cs="Arial"/>
          <w:b/>
          <w:sz w:val="20"/>
          <w:szCs w:val="20"/>
        </w:rPr>
        <w:t>Low/reduced flow plumbing fixtures</w:t>
      </w:r>
    </w:p>
    <w:p w:rsidR="009A76DA" w:rsidRPr="00502554" w:rsidRDefault="009A76DA" w:rsidP="00210DA1">
      <w:pPr>
        <w:spacing w:after="0" w:line="240" w:lineRule="auto"/>
        <w:ind w:left="360"/>
        <w:rPr>
          <w:rFonts w:ascii="Arial" w:hAnsi="Arial" w:cs="Arial"/>
          <w:sz w:val="20"/>
          <w:szCs w:val="20"/>
        </w:rPr>
      </w:pPr>
      <w:r w:rsidRPr="00502554">
        <w:rPr>
          <w:rFonts w:ascii="Arial" w:hAnsi="Arial" w:cs="Arial"/>
          <w:sz w:val="20"/>
          <w:szCs w:val="20"/>
        </w:rPr>
        <w:t>Low and ultra-low flow domestic fixtures were installed at the new Cargill headquarters, resulting in an annual domestic water use reduction of 30 percent.</w:t>
      </w:r>
    </w:p>
    <w:p w:rsidR="00502554" w:rsidRDefault="00502554" w:rsidP="00C734A6">
      <w:pPr>
        <w:rPr>
          <w:rFonts w:ascii="Arial" w:hAnsi="Arial" w:cs="Arial"/>
          <w:b/>
          <w:sz w:val="20"/>
          <w:szCs w:val="20"/>
          <w:u w:val="single"/>
        </w:rPr>
      </w:pPr>
    </w:p>
    <w:p w:rsidR="00502554" w:rsidRDefault="00502554">
      <w:pPr>
        <w:rPr>
          <w:rFonts w:ascii="Arial" w:hAnsi="Arial" w:cs="Arial"/>
          <w:b/>
          <w:sz w:val="20"/>
          <w:szCs w:val="20"/>
          <w:u w:val="single"/>
        </w:rPr>
      </w:pPr>
      <w:r>
        <w:rPr>
          <w:rFonts w:ascii="Arial" w:hAnsi="Arial" w:cs="Arial"/>
          <w:b/>
          <w:sz w:val="20"/>
          <w:szCs w:val="20"/>
          <w:u w:val="single"/>
        </w:rPr>
        <w:br w:type="page"/>
      </w:r>
    </w:p>
    <w:p w:rsidR="00502554" w:rsidRDefault="00502554" w:rsidP="00502554">
      <w:pPr>
        <w:spacing w:after="0"/>
        <w:rPr>
          <w:rFonts w:ascii="Arial" w:hAnsi="Arial" w:cs="Arial"/>
          <w:b/>
          <w:sz w:val="20"/>
          <w:szCs w:val="20"/>
          <w:u w:val="single"/>
        </w:rPr>
      </w:pPr>
    </w:p>
    <w:p w:rsidR="00D76003" w:rsidRPr="00502554" w:rsidRDefault="00D76003" w:rsidP="00C734A6">
      <w:pPr>
        <w:rPr>
          <w:rFonts w:ascii="Arial" w:hAnsi="Arial" w:cs="Arial"/>
          <w:b/>
          <w:sz w:val="20"/>
          <w:szCs w:val="20"/>
          <w:u w:val="single"/>
        </w:rPr>
      </w:pPr>
      <w:r w:rsidRPr="00502554">
        <w:rPr>
          <w:rFonts w:ascii="Arial" w:hAnsi="Arial" w:cs="Arial"/>
          <w:b/>
          <w:sz w:val="20"/>
          <w:szCs w:val="20"/>
          <w:u w:val="single"/>
        </w:rPr>
        <w:t>Energy Consumption</w:t>
      </w:r>
    </w:p>
    <w:p w:rsidR="00D31F44" w:rsidRPr="00502554" w:rsidRDefault="007E23BB" w:rsidP="00C734A6">
      <w:pPr>
        <w:rPr>
          <w:rFonts w:ascii="Arial" w:hAnsi="Arial" w:cs="Arial"/>
          <w:sz w:val="20"/>
          <w:szCs w:val="20"/>
        </w:rPr>
      </w:pPr>
      <w:r w:rsidRPr="00502554">
        <w:rPr>
          <w:rFonts w:ascii="Arial" w:hAnsi="Arial" w:cs="Arial"/>
          <w:sz w:val="20"/>
          <w:szCs w:val="20"/>
        </w:rPr>
        <w:t xml:space="preserve">The building was designed and constructed to meet Leadership in Energy and Environmental Design (LEED) Silver certification standards. LEED is a rating system that is intended to provide framework for measurable goals in construction, design, operational and maintenance solutions. Constructing the new headquarters to LEED standards sets a definitive sustainability goal that is within reach. </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102"/>
        <w:gridCol w:w="3105"/>
        <w:gridCol w:w="3107"/>
      </w:tblGrid>
      <w:tr w:rsidR="00D76003" w:rsidRPr="00502554" w:rsidTr="00D31F44">
        <w:tc>
          <w:tcPr>
            <w:tcW w:w="3116" w:type="dxa"/>
            <w:shd w:val="clear" w:color="auto" w:fill="D0CECE" w:themeFill="background2" w:themeFillShade="E6"/>
          </w:tcPr>
          <w:p w:rsidR="00D76003" w:rsidRPr="00502554" w:rsidRDefault="00D76003" w:rsidP="00C734A6">
            <w:pPr>
              <w:rPr>
                <w:rFonts w:ascii="Arial" w:eastAsia="Times New Roman" w:hAnsi="Arial" w:cs="Arial"/>
                <w:sz w:val="19"/>
                <w:szCs w:val="19"/>
              </w:rPr>
            </w:pPr>
            <w:r w:rsidRPr="00502554">
              <w:rPr>
                <w:rFonts w:ascii="Arial" w:eastAsia="Times New Roman" w:hAnsi="Arial" w:cs="Arial"/>
                <w:b/>
                <w:sz w:val="19"/>
                <w:szCs w:val="19"/>
              </w:rPr>
              <w:t>LED light fixtures</w:t>
            </w:r>
            <w:r w:rsidRPr="00502554">
              <w:rPr>
                <w:rFonts w:ascii="Arial" w:eastAsia="Times New Roman" w:hAnsi="Arial" w:cs="Arial"/>
                <w:sz w:val="19"/>
                <w:szCs w:val="19"/>
              </w:rPr>
              <w:t>: All lighting installed is high efficiency LEDs.</w:t>
            </w:r>
          </w:p>
          <w:p w:rsidR="00D76003" w:rsidRPr="00502554" w:rsidRDefault="00D76003" w:rsidP="00C734A6">
            <w:pPr>
              <w:rPr>
                <w:rFonts w:ascii="Arial" w:hAnsi="Arial" w:cs="Arial"/>
                <w:sz w:val="19"/>
                <w:szCs w:val="19"/>
              </w:rPr>
            </w:pPr>
          </w:p>
        </w:tc>
        <w:tc>
          <w:tcPr>
            <w:tcW w:w="3117" w:type="dxa"/>
          </w:tcPr>
          <w:p w:rsidR="00D76003" w:rsidRPr="00502554" w:rsidRDefault="00D76003" w:rsidP="00C734A6">
            <w:pPr>
              <w:rPr>
                <w:rFonts w:ascii="Arial" w:eastAsia="Times New Roman" w:hAnsi="Arial" w:cs="Arial"/>
                <w:sz w:val="19"/>
                <w:szCs w:val="19"/>
              </w:rPr>
            </w:pPr>
            <w:r w:rsidRPr="00502554">
              <w:rPr>
                <w:rFonts w:ascii="Arial" w:eastAsia="Times New Roman" w:hAnsi="Arial" w:cs="Arial"/>
                <w:b/>
                <w:sz w:val="19"/>
                <w:szCs w:val="19"/>
              </w:rPr>
              <w:t>Lighting controls:</w:t>
            </w:r>
            <w:r w:rsidRPr="00502554">
              <w:rPr>
                <w:rFonts w:ascii="Arial" w:eastAsia="Times New Roman" w:hAnsi="Arial" w:cs="Arial"/>
                <w:sz w:val="19"/>
                <w:szCs w:val="19"/>
              </w:rPr>
              <w:t xml:space="preserve"> Distributed lighting controls are provided for all interior areas, and a relay-based system for timeclock-controlled areas.</w:t>
            </w:r>
          </w:p>
          <w:p w:rsidR="00D76003" w:rsidRPr="00502554" w:rsidRDefault="00D76003" w:rsidP="00C734A6">
            <w:pPr>
              <w:rPr>
                <w:rFonts w:ascii="Arial" w:hAnsi="Arial" w:cs="Arial"/>
                <w:sz w:val="19"/>
                <w:szCs w:val="19"/>
              </w:rPr>
            </w:pPr>
          </w:p>
        </w:tc>
        <w:tc>
          <w:tcPr>
            <w:tcW w:w="3117" w:type="dxa"/>
            <w:shd w:val="clear" w:color="auto" w:fill="D0CECE" w:themeFill="background2" w:themeFillShade="E6"/>
          </w:tcPr>
          <w:p w:rsidR="00D76003" w:rsidRPr="00502554" w:rsidRDefault="00D76003" w:rsidP="00C734A6">
            <w:pPr>
              <w:rPr>
                <w:rFonts w:ascii="Arial" w:hAnsi="Arial" w:cs="Arial"/>
                <w:sz w:val="19"/>
                <w:szCs w:val="19"/>
              </w:rPr>
            </w:pPr>
            <w:r w:rsidRPr="00502554">
              <w:rPr>
                <w:rFonts w:ascii="Arial" w:hAnsi="Arial" w:cs="Arial"/>
                <w:b/>
                <w:sz w:val="19"/>
                <w:szCs w:val="19"/>
                <w:highlight w:val="lightGray"/>
                <w:shd w:val="clear" w:color="auto" w:fill="FAFAFA"/>
              </w:rPr>
              <w:t>Sun shading to reduce heat gain</w:t>
            </w:r>
            <w:r w:rsidRPr="00502554">
              <w:rPr>
                <w:rFonts w:ascii="Arial" w:hAnsi="Arial" w:cs="Arial"/>
                <w:sz w:val="19"/>
                <w:szCs w:val="19"/>
                <w:highlight w:val="lightGray"/>
                <w:shd w:val="clear" w:color="auto" w:fill="FAFAFA"/>
              </w:rPr>
              <w:t>: Sunshades and deep-set glass reduce solar heat gain in turn reducing the amount of mechanical loading needed to cool the building.</w:t>
            </w:r>
          </w:p>
          <w:p w:rsidR="00D76003" w:rsidRPr="00502554" w:rsidRDefault="00D76003" w:rsidP="00C734A6">
            <w:pPr>
              <w:rPr>
                <w:rFonts w:ascii="Arial" w:hAnsi="Arial" w:cs="Arial"/>
                <w:sz w:val="19"/>
                <w:szCs w:val="19"/>
              </w:rPr>
            </w:pPr>
          </w:p>
        </w:tc>
      </w:tr>
      <w:tr w:rsidR="00D76003" w:rsidRPr="00502554" w:rsidTr="00D31F44">
        <w:tc>
          <w:tcPr>
            <w:tcW w:w="3116" w:type="dxa"/>
          </w:tcPr>
          <w:p w:rsidR="00D76003" w:rsidRPr="00502554" w:rsidRDefault="00D76003" w:rsidP="00C734A6">
            <w:pPr>
              <w:rPr>
                <w:rFonts w:ascii="Arial" w:eastAsia="Times New Roman" w:hAnsi="Arial" w:cs="Arial"/>
                <w:sz w:val="19"/>
                <w:szCs w:val="19"/>
              </w:rPr>
            </w:pPr>
            <w:r w:rsidRPr="00502554">
              <w:rPr>
                <w:rFonts w:ascii="Arial" w:eastAsia="Times New Roman" w:hAnsi="Arial" w:cs="Arial"/>
                <w:b/>
                <w:sz w:val="19"/>
                <w:szCs w:val="19"/>
              </w:rPr>
              <w:t xml:space="preserve">High Efficiency HVAC system: </w:t>
            </w:r>
            <w:r w:rsidRPr="00502554">
              <w:rPr>
                <w:rFonts w:ascii="Arial" w:eastAsia="Times New Roman" w:hAnsi="Arial" w:cs="Arial"/>
                <w:sz w:val="19"/>
                <w:szCs w:val="19"/>
              </w:rPr>
              <w:t xml:space="preserve">Air cooled chillers and electric heat were used as the basis of the system. One chiller will be provided with waterside economizer for “free” cooling in winter months. </w:t>
            </w:r>
          </w:p>
          <w:p w:rsidR="00D76003" w:rsidRPr="00502554" w:rsidRDefault="00D76003" w:rsidP="00C734A6">
            <w:pPr>
              <w:rPr>
                <w:rFonts w:ascii="Arial" w:hAnsi="Arial" w:cs="Arial"/>
                <w:sz w:val="19"/>
                <w:szCs w:val="19"/>
              </w:rPr>
            </w:pPr>
          </w:p>
        </w:tc>
        <w:tc>
          <w:tcPr>
            <w:tcW w:w="3117" w:type="dxa"/>
            <w:shd w:val="clear" w:color="auto" w:fill="D0CECE" w:themeFill="background2" w:themeFillShade="E6"/>
          </w:tcPr>
          <w:p w:rsidR="00D76003" w:rsidRPr="00502554" w:rsidRDefault="00D76003" w:rsidP="00C734A6">
            <w:pPr>
              <w:rPr>
                <w:rFonts w:ascii="Arial" w:hAnsi="Arial" w:cs="Arial"/>
                <w:sz w:val="19"/>
                <w:szCs w:val="19"/>
              </w:rPr>
            </w:pPr>
            <w:r w:rsidRPr="00502554">
              <w:rPr>
                <w:rFonts w:ascii="Arial" w:hAnsi="Arial" w:cs="Arial"/>
                <w:b/>
                <w:sz w:val="19"/>
                <w:szCs w:val="19"/>
                <w:highlight w:val="lightGray"/>
                <w:shd w:val="clear" w:color="auto" w:fill="FAFAFA"/>
              </w:rPr>
              <w:t xml:space="preserve">Energy efficient exterior building glass: </w:t>
            </w:r>
            <w:r w:rsidRPr="00502554">
              <w:rPr>
                <w:rFonts w:ascii="Arial" w:hAnsi="Arial" w:cs="Arial"/>
                <w:sz w:val="19"/>
                <w:szCs w:val="19"/>
                <w:highlight w:val="lightGray"/>
                <w:shd w:val="clear" w:color="auto" w:fill="FAFAFA"/>
              </w:rPr>
              <w:t>A high efficiency low-e insulated glass unit was chosen, so that light</w:t>
            </w:r>
            <w:r w:rsidR="007E23BB" w:rsidRPr="00502554">
              <w:rPr>
                <w:rFonts w:ascii="Arial" w:hAnsi="Arial" w:cs="Arial"/>
                <w:sz w:val="19"/>
                <w:szCs w:val="19"/>
                <w:highlight w:val="lightGray"/>
                <w:shd w:val="clear" w:color="auto" w:fill="FAFAFA"/>
              </w:rPr>
              <w:t xml:space="preserve"> is let into the </w:t>
            </w:r>
            <w:r w:rsidRPr="00502554">
              <w:rPr>
                <w:rFonts w:ascii="Arial" w:hAnsi="Arial" w:cs="Arial"/>
                <w:sz w:val="19"/>
                <w:szCs w:val="19"/>
                <w:highlight w:val="lightGray"/>
                <w:shd w:val="clear" w:color="auto" w:fill="FAFAFA"/>
              </w:rPr>
              <w:t>building</w:t>
            </w:r>
            <w:r w:rsidR="007E23BB" w:rsidRPr="00502554">
              <w:rPr>
                <w:rFonts w:ascii="Arial" w:hAnsi="Arial" w:cs="Arial"/>
                <w:sz w:val="19"/>
                <w:szCs w:val="19"/>
                <w:highlight w:val="lightGray"/>
                <w:shd w:val="clear" w:color="auto" w:fill="FAFAFA"/>
              </w:rPr>
              <w:t>,</w:t>
            </w:r>
            <w:r w:rsidRPr="00502554">
              <w:rPr>
                <w:rFonts w:ascii="Arial" w:hAnsi="Arial" w:cs="Arial"/>
                <w:sz w:val="19"/>
                <w:szCs w:val="19"/>
                <w:highlight w:val="lightGray"/>
                <w:shd w:val="clear" w:color="auto" w:fill="FAFAFA"/>
              </w:rPr>
              <w:t xml:space="preserve"> but heat is reflected out, limiting the burden on the mechanical systems.</w:t>
            </w:r>
            <w:r w:rsidRPr="00502554">
              <w:rPr>
                <w:rFonts w:ascii="Arial" w:hAnsi="Arial" w:cs="Arial"/>
                <w:sz w:val="19"/>
                <w:szCs w:val="19"/>
                <w:shd w:val="clear" w:color="auto" w:fill="FAFAFA"/>
              </w:rPr>
              <w:t xml:space="preserve">  </w:t>
            </w:r>
          </w:p>
          <w:p w:rsidR="00D76003" w:rsidRPr="00502554" w:rsidRDefault="00D76003" w:rsidP="00C734A6">
            <w:pPr>
              <w:rPr>
                <w:rFonts w:ascii="Arial" w:hAnsi="Arial" w:cs="Arial"/>
                <w:sz w:val="19"/>
                <w:szCs w:val="19"/>
              </w:rPr>
            </w:pPr>
          </w:p>
        </w:tc>
        <w:tc>
          <w:tcPr>
            <w:tcW w:w="3117" w:type="dxa"/>
          </w:tcPr>
          <w:p w:rsidR="001E1B80" w:rsidRPr="00502554" w:rsidRDefault="001E1B80" w:rsidP="00C734A6">
            <w:pPr>
              <w:rPr>
                <w:rFonts w:ascii="Arial" w:hAnsi="Arial" w:cs="Arial"/>
                <w:sz w:val="19"/>
                <w:szCs w:val="19"/>
              </w:rPr>
            </w:pPr>
            <w:r w:rsidRPr="00502554">
              <w:rPr>
                <w:rFonts w:ascii="Arial" w:hAnsi="Arial" w:cs="Arial"/>
                <w:b/>
                <w:sz w:val="19"/>
                <w:szCs w:val="19"/>
                <w:shd w:val="clear" w:color="auto" w:fill="FAFAFA"/>
              </w:rPr>
              <w:t>MEP Commissioning</w:t>
            </w:r>
            <w:r w:rsidRPr="00502554">
              <w:rPr>
                <w:rFonts w:ascii="Arial" w:hAnsi="Arial" w:cs="Arial"/>
                <w:sz w:val="19"/>
                <w:szCs w:val="19"/>
                <w:shd w:val="clear" w:color="auto" w:fill="FAFAFA"/>
              </w:rPr>
              <w:t xml:space="preserve">: A third party commissioning agent will review the design and operation of the systems as part of a quality control process. </w:t>
            </w:r>
          </w:p>
          <w:p w:rsidR="001E1B80" w:rsidRPr="00502554" w:rsidRDefault="001E1B80" w:rsidP="00C734A6">
            <w:pPr>
              <w:rPr>
                <w:rFonts w:ascii="Arial" w:eastAsia="Times New Roman" w:hAnsi="Arial" w:cs="Arial"/>
                <w:sz w:val="19"/>
                <w:szCs w:val="19"/>
              </w:rPr>
            </w:pPr>
          </w:p>
          <w:p w:rsidR="00D76003" w:rsidRPr="00502554" w:rsidRDefault="00D76003" w:rsidP="00C734A6">
            <w:pPr>
              <w:rPr>
                <w:rFonts w:ascii="Arial" w:hAnsi="Arial" w:cs="Arial"/>
                <w:sz w:val="19"/>
                <w:szCs w:val="19"/>
              </w:rPr>
            </w:pPr>
          </w:p>
        </w:tc>
      </w:tr>
      <w:tr w:rsidR="00D76003" w:rsidRPr="00502554" w:rsidTr="00D31F44">
        <w:tc>
          <w:tcPr>
            <w:tcW w:w="3116" w:type="dxa"/>
            <w:shd w:val="clear" w:color="auto" w:fill="D0CECE" w:themeFill="background2" w:themeFillShade="E6"/>
          </w:tcPr>
          <w:p w:rsidR="00D76003" w:rsidRPr="00502554" w:rsidRDefault="00D76003" w:rsidP="00C734A6">
            <w:pPr>
              <w:rPr>
                <w:rFonts w:ascii="Arial" w:eastAsia="Times New Roman" w:hAnsi="Arial" w:cs="Arial"/>
                <w:sz w:val="19"/>
                <w:szCs w:val="19"/>
              </w:rPr>
            </w:pPr>
            <w:r w:rsidRPr="00502554">
              <w:rPr>
                <w:rFonts w:ascii="Arial" w:eastAsia="Times New Roman" w:hAnsi="Arial" w:cs="Arial"/>
                <w:b/>
                <w:sz w:val="19"/>
                <w:szCs w:val="19"/>
              </w:rPr>
              <w:t>Smart utility meters</w:t>
            </w:r>
            <w:r w:rsidRPr="00502554">
              <w:rPr>
                <w:rFonts w:ascii="Arial" w:eastAsia="Times New Roman" w:hAnsi="Arial" w:cs="Arial"/>
                <w:sz w:val="19"/>
                <w:szCs w:val="19"/>
              </w:rPr>
              <w:t xml:space="preserve"> are installed on all utility services (electricity, natural gas, domestic water, chilled water, hot water, etc</w:t>
            </w:r>
            <w:r w:rsidR="00210DA1">
              <w:rPr>
                <w:rFonts w:ascii="Arial" w:eastAsia="Times New Roman" w:hAnsi="Arial" w:cs="Arial"/>
                <w:sz w:val="19"/>
                <w:szCs w:val="19"/>
              </w:rPr>
              <w:t>.).</w:t>
            </w:r>
          </w:p>
          <w:p w:rsidR="00D76003" w:rsidRPr="00502554" w:rsidRDefault="00D76003" w:rsidP="00C734A6">
            <w:pPr>
              <w:rPr>
                <w:rFonts w:ascii="Arial" w:hAnsi="Arial" w:cs="Arial"/>
                <w:sz w:val="19"/>
                <w:szCs w:val="19"/>
              </w:rPr>
            </w:pPr>
          </w:p>
        </w:tc>
        <w:tc>
          <w:tcPr>
            <w:tcW w:w="3117" w:type="dxa"/>
          </w:tcPr>
          <w:p w:rsidR="00D76003" w:rsidRPr="00502554" w:rsidRDefault="001E1B80" w:rsidP="00C734A6">
            <w:pPr>
              <w:rPr>
                <w:rFonts w:ascii="Arial" w:eastAsia="Times New Roman" w:hAnsi="Arial" w:cs="Arial"/>
                <w:sz w:val="19"/>
                <w:szCs w:val="19"/>
              </w:rPr>
            </w:pPr>
            <w:r w:rsidRPr="00502554">
              <w:rPr>
                <w:rFonts w:ascii="Arial" w:eastAsia="Times New Roman" w:hAnsi="Arial" w:cs="Arial"/>
                <w:b/>
                <w:sz w:val="19"/>
                <w:szCs w:val="19"/>
              </w:rPr>
              <w:t>Upgraded lighting controls:</w:t>
            </w:r>
            <w:r w:rsidRPr="00502554">
              <w:rPr>
                <w:rFonts w:ascii="Arial" w:eastAsia="Times New Roman" w:hAnsi="Arial" w:cs="Arial"/>
                <w:sz w:val="19"/>
                <w:szCs w:val="19"/>
              </w:rPr>
              <w:t xml:space="preserve"> Additional management provides network room scheduling, remote help desk, global device management, and data collection and reporting. This data download can help facility managers proactively manage the building and optimize their building usage.</w:t>
            </w:r>
          </w:p>
        </w:tc>
        <w:tc>
          <w:tcPr>
            <w:tcW w:w="3117" w:type="dxa"/>
            <w:shd w:val="clear" w:color="auto" w:fill="D0CECE" w:themeFill="background2" w:themeFillShade="E6"/>
          </w:tcPr>
          <w:p w:rsidR="001E1B80" w:rsidRPr="00502554" w:rsidRDefault="001E1B80" w:rsidP="00C734A6">
            <w:pPr>
              <w:rPr>
                <w:rFonts w:ascii="Arial" w:eastAsia="Times New Roman" w:hAnsi="Arial" w:cs="Arial"/>
                <w:sz w:val="19"/>
                <w:szCs w:val="19"/>
              </w:rPr>
            </w:pPr>
            <w:r w:rsidRPr="00502554">
              <w:rPr>
                <w:rFonts w:ascii="Arial" w:eastAsia="Times New Roman" w:hAnsi="Arial" w:cs="Arial"/>
                <w:b/>
                <w:sz w:val="19"/>
                <w:szCs w:val="19"/>
              </w:rPr>
              <w:t>Additional utility sub-meters:</w:t>
            </w:r>
            <w:r w:rsidRPr="00502554">
              <w:rPr>
                <w:rFonts w:ascii="Arial" w:eastAsia="Times New Roman" w:hAnsi="Arial" w:cs="Arial"/>
                <w:sz w:val="19"/>
                <w:szCs w:val="19"/>
              </w:rPr>
              <w:t xml:space="preserve"> Meters and infrastructure were installed to measure electric subsystems including HVAC, lighting, general power, </w:t>
            </w:r>
            <w:bookmarkStart w:id="0" w:name="_GoBack"/>
            <w:r w:rsidRPr="00502554">
              <w:rPr>
                <w:rFonts w:ascii="Arial" w:eastAsia="Times New Roman" w:hAnsi="Arial" w:cs="Arial"/>
                <w:sz w:val="19"/>
                <w:szCs w:val="19"/>
              </w:rPr>
              <w:t>etc</w:t>
            </w:r>
            <w:bookmarkEnd w:id="0"/>
            <w:r w:rsidRPr="00502554">
              <w:rPr>
                <w:rFonts w:ascii="Arial" w:eastAsia="Times New Roman" w:hAnsi="Arial" w:cs="Arial"/>
                <w:sz w:val="19"/>
                <w:szCs w:val="19"/>
              </w:rPr>
              <w:t xml:space="preserve">. This contributes to a greater control of data that can be used to “tune” the building to its use and reduce energy consumption. </w:t>
            </w:r>
          </w:p>
          <w:p w:rsidR="00D76003" w:rsidRPr="00502554" w:rsidRDefault="00D76003" w:rsidP="00C734A6">
            <w:pPr>
              <w:rPr>
                <w:rFonts w:ascii="Arial" w:hAnsi="Arial" w:cs="Arial"/>
                <w:sz w:val="19"/>
                <w:szCs w:val="19"/>
              </w:rPr>
            </w:pPr>
          </w:p>
        </w:tc>
      </w:tr>
    </w:tbl>
    <w:p w:rsidR="002221F5" w:rsidRDefault="002221F5" w:rsidP="00C734A6">
      <w:pPr>
        <w:rPr>
          <w:rFonts w:ascii="Arial" w:hAnsi="Arial" w:cs="Arial"/>
          <w:b/>
          <w:sz w:val="20"/>
          <w:szCs w:val="20"/>
          <w:u w:val="single"/>
        </w:rPr>
      </w:pPr>
    </w:p>
    <w:p w:rsidR="007E23BB" w:rsidRPr="002221F5" w:rsidRDefault="007E23BB" w:rsidP="00C734A6">
      <w:pPr>
        <w:rPr>
          <w:rFonts w:ascii="Arial" w:hAnsi="Arial" w:cs="Arial"/>
          <w:b/>
          <w:sz w:val="20"/>
          <w:szCs w:val="20"/>
          <w:u w:val="single"/>
        </w:rPr>
      </w:pPr>
      <w:r w:rsidRPr="002221F5">
        <w:rPr>
          <w:rFonts w:ascii="Arial" w:hAnsi="Arial" w:cs="Arial"/>
          <w:b/>
          <w:sz w:val="20"/>
          <w:szCs w:val="20"/>
          <w:u w:val="single"/>
        </w:rPr>
        <w:t>Indoor Environmental Quality</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104"/>
        <w:gridCol w:w="3103"/>
        <w:gridCol w:w="3107"/>
      </w:tblGrid>
      <w:tr w:rsidR="007E23BB" w:rsidRPr="00502554" w:rsidTr="00D31F44">
        <w:tc>
          <w:tcPr>
            <w:tcW w:w="3116" w:type="dxa"/>
          </w:tcPr>
          <w:p w:rsidR="007E23BB" w:rsidRPr="00502554" w:rsidRDefault="007E23BB" w:rsidP="00C734A6">
            <w:pPr>
              <w:rPr>
                <w:rFonts w:ascii="Arial" w:eastAsia="Times New Roman" w:hAnsi="Arial" w:cs="Arial"/>
                <w:sz w:val="19"/>
                <w:szCs w:val="19"/>
              </w:rPr>
            </w:pPr>
            <w:r w:rsidRPr="00502554">
              <w:rPr>
                <w:rFonts w:ascii="Arial" w:eastAsia="Times New Roman" w:hAnsi="Arial" w:cs="Arial"/>
                <w:b/>
                <w:sz w:val="19"/>
                <w:szCs w:val="19"/>
              </w:rPr>
              <w:t xml:space="preserve">Outside air ventilation: </w:t>
            </w:r>
            <w:r w:rsidRPr="00502554">
              <w:rPr>
                <w:rFonts w:ascii="Arial" w:eastAsia="Times New Roman" w:hAnsi="Arial" w:cs="Arial"/>
                <w:sz w:val="19"/>
                <w:szCs w:val="19"/>
              </w:rPr>
              <w:t>Dedicated outside air units (DOAS) with energy recovery features provide ventilation air to the building.</w:t>
            </w:r>
          </w:p>
          <w:p w:rsidR="007E23BB" w:rsidRPr="00502554" w:rsidRDefault="007E23BB" w:rsidP="00C734A6">
            <w:pPr>
              <w:rPr>
                <w:rFonts w:ascii="Arial" w:hAnsi="Arial" w:cs="Arial"/>
                <w:b/>
                <w:sz w:val="19"/>
                <w:szCs w:val="19"/>
                <w:u w:val="single"/>
              </w:rPr>
            </w:pPr>
          </w:p>
        </w:tc>
        <w:tc>
          <w:tcPr>
            <w:tcW w:w="3117" w:type="dxa"/>
            <w:shd w:val="clear" w:color="auto" w:fill="D0CECE" w:themeFill="background2" w:themeFillShade="E6"/>
          </w:tcPr>
          <w:p w:rsidR="007E23BB" w:rsidRPr="00502554" w:rsidRDefault="007E23BB" w:rsidP="00C734A6">
            <w:pPr>
              <w:rPr>
                <w:rFonts w:ascii="Arial" w:hAnsi="Arial" w:cs="Arial"/>
                <w:sz w:val="19"/>
                <w:szCs w:val="19"/>
              </w:rPr>
            </w:pPr>
            <w:r w:rsidRPr="00502554">
              <w:rPr>
                <w:rFonts w:ascii="Arial" w:hAnsi="Arial" w:cs="Arial"/>
                <w:b/>
                <w:sz w:val="19"/>
                <w:szCs w:val="19"/>
                <w:highlight w:val="lightGray"/>
                <w:shd w:val="clear" w:color="auto" w:fill="FAFAFA"/>
              </w:rPr>
              <w:t>Low VOC materials used</w:t>
            </w:r>
            <w:r w:rsidRPr="00502554">
              <w:rPr>
                <w:rFonts w:ascii="Arial" w:hAnsi="Arial" w:cs="Arial"/>
                <w:sz w:val="19"/>
                <w:szCs w:val="19"/>
                <w:highlight w:val="lightGray"/>
                <w:shd w:val="clear" w:color="auto" w:fill="FAFAFA"/>
              </w:rPr>
              <w:t>: The design team gave preference to materials that contain low levels of volatile organic compounds.</w:t>
            </w:r>
          </w:p>
          <w:p w:rsidR="007E23BB" w:rsidRPr="00502554" w:rsidRDefault="007E23BB" w:rsidP="00C734A6">
            <w:pPr>
              <w:rPr>
                <w:rFonts w:ascii="Arial" w:hAnsi="Arial" w:cs="Arial"/>
                <w:b/>
                <w:sz w:val="19"/>
                <w:szCs w:val="19"/>
                <w:u w:val="single"/>
              </w:rPr>
            </w:pPr>
          </w:p>
        </w:tc>
        <w:tc>
          <w:tcPr>
            <w:tcW w:w="3117" w:type="dxa"/>
          </w:tcPr>
          <w:p w:rsidR="007E23BB" w:rsidRPr="00502554" w:rsidRDefault="007E23BB" w:rsidP="00C734A6">
            <w:pPr>
              <w:rPr>
                <w:rFonts w:ascii="Arial" w:eastAsia="Times New Roman" w:hAnsi="Arial" w:cs="Arial"/>
                <w:sz w:val="19"/>
                <w:szCs w:val="19"/>
              </w:rPr>
            </w:pPr>
            <w:r w:rsidRPr="00502554">
              <w:rPr>
                <w:rFonts w:ascii="Arial" w:eastAsia="Times New Roman" w:hAnsi="Arial" w:cs="Arial"/>
                <w:b/>
                <w:sz w:val="19"/>
                <w:szCs w:val="19"/>
              </w:rPr>
              <w:t>Non-CFC refrigerants used:</w:t>
            </w:r>
            <w:r w:rsidRPr="00502554">
              <w:rPr>
                <w:rFonts w:ascii="Arial" w:eastAsia="Times New Roman" w:hAnsi="Arial" w:cs="Arial"/>
                <w:sz w:val="19"/>
                <w:szCs w:val="19"/>
              </w:rPr>
              <w:t xml:space="preserve"> No chlorofluorocarbon (CFC)-based refrigerants were used in new heating, ventilating, air-conditioning, and refrigeration (HVAC&amp;R) systems.</w:t>
            </w:r>
          </w:p>
          <w:p w:rsidR="007E23BB" w:rsidRPr="00502554" w:rsidRDefault="007E23BB" w:rsidP="00C734A6">
            <w:pPr>
              <w:rPr>
                <w:rFonts w:ascii="Arial" w:hAnsi="Arial" w:cs="Arial"/>
                <w:b/>
                <w:sz w:val="19"/>
                <w:szCs w:val="19"/>
                <w:u w:val="single"/>
              </w:rPr>
            </w:pPr>
          </w:p>
        </w:tc>
      </w:tr>
      <w:tr w:rsidR="007E23BB" w:rsidRPr="00502554" w:rsidTr="00D31F44">
        <w:tc>
          <w:tcPr>
            <w:tcW w:w="3116" w:type="dxa"/>
            <w:shd w:val="clear" w:color="auto" w:fill="D0CECE" w:themeFill="background2" w:themeFillShade="E6"/>
          </w:tcPr>
          <w:p w:rsidR="007E23BB" w:rsidRPr="00502554" w:rsidRDefault="007E23BB" w:rsidP="00C734A6">
            <w:pPr>
              <w:rPr>
                <w:rFonts w:ascii="Arial" w:hAnsi="Arial" w:cs="Arial"/>
                <w:sz w:val="19"/>
                <w:szCs w:val="19"/>
              </w:rPr>
            </w:pPr>
            <w:r w:rsidRPr="00502554">
              <w:rPr>
                <w:rFonts w:ascii="Arial" w:hAnsi="Arial" w:cs="Arial"/>
                <w:b/>
                <w:sz w:val="19"/>
                <w:szCs w:val="19"/>
                <w:highlight w:val="lightGray"/>
                <w:shd w:val="clear" w:color="auto" w:fill="FAFAFA"/>
              </w:rPr>
              <w:t>Reduced dirt &amp; debris:</w:t>
            </w:r>
            <w:r w:rsidR="00655106" w:rsidRPr="00502554">
              <w:rPr>
                <w:rFonts w:ascii="Arial" w:hAnsi="Arial" w:cs="Arial"/>
                <w:sz w:val="19"/>
                <w:szCs w:val="19"/>
                <w:highlight w:val="lightGray"/>
                <w:shd w:val="clear" w:color="auto" w:fill="FAFAFA"/>
              </w:rPr>
              <w:t xml:space="preserve"> Vestibules are sized</w:t>
            </w:r>
            <w:r w:rsidRPr="00502554">
              <w:rPr>
                <w:rFonts w:ascii="Arial" w:hAnsi="Arial" w:cs="Arial"/>
                <w:sz w:val="19"/>
                <w:szCs w:val="19"/>
                <w:highlight w:val="lightGray"/>
                <w:shd w:val="clear" w:color="auto" w:fill="FAFAFA"/>
              </w:rPr>
              <w:t xml:space="preserve"> to </w:t>
            </w:r>
            <w:r w:rsidR="00655106" w:rsidRPr="00502554">
              <w:rPr>
                <w:rFonts w:ascii="Arial" w:hAnsi="Arial" w:cs="Arial"/>
                <w:sz w:val="19"/>
                <w:szCs w:val="19"/>
                <w:highlight w:val="lightGray"/>
                <w:shd w:val="clear" w:color="auto" w:fill="FAFAFA"/>
              </w:rPr>
              <w:t>allow for proper cleaning of</w:t>
            </w:r>
            <w:r w:rsidRPr="00502554">
              <w:rPr>
                <w:rFonts w:ascii="Arial" w:hAnsi="Arial" w:cs="Arial"/>
                <w:sz w:val="19"/>
                <w:szCs w:val="19"/>
                <w:highlight w:val="lightGray"/>
                <w:shd w:val="clear" w:color="auto" w:fill="FAFAFA"/>
              </w:rPr>
              <w:t xml:space="preserve"> shoes with permanent walk off mats, limiting the debr</w:t>
            </w:r>
            <w:r w:rsidR="00655106" w:rsidRPr="00502554">
              <w:rPr>
                <w:rFonts w:ascii="Arial" w:hAnsi="Arial" w:cs="Arial"/>
                <w:sz w:val="19"/>
                <w:szCs w:val="19"/>
                <w:highlight w:val="lightGray"/>
                <w:shd w:val="clear" w:color="auto" w:fill="FAFAFA"/>
              </w:rPr>
              <w:t>is and contaminants in</w:t>
            </w:r>
            <w:r w:rsidRPr="00502554">
              <w:rPr>
                <w:rFonts w:ascii="Arial" w:hAnsi="Arial" w:cs="Arial"/>
                <w:sz w:val="19"/>
                <w:szCs w:val="19"/>
                <w:highlight w:val="lightGray"/>
                <w:shd w:val="clear" w:color="auto" w:fill="FAFAFA"/>
              </w:rPr>
              <w:t xml:space="preserve"> the building.</w:t>
            </w:r>
            <w:r w:rsidRPr="00502554">
              <w:rPr>
                <w:rFonts w:ascii="Arial" w:hAnsi="Arial" w:cs="Arial"/>
                <w:sz w:val="19"/>
                <w:szCs w:val="19"/>
                <w:shd w:val="clear" w:color="auto" w:fill="FAFAFA"/>
              </w:rPr>
              <w:t xml:space="preserve"> </w:t>
            </w:r>
          </w:p>
          <w:p w:rsidR="007E23BB" w:rsidRPr="00502554" w:rsidRDefault="007E23BB" w:rsidP="00C734A6">
            <w:pPr>
              <w:rPr>
                <w:rFonts w:ascii="Arial" w:hAnsi="Arial" w:cs="Arial"/>
                <w:b/>
                <w:sz w:val="19"/>
                <w:szCs w:val="19"/>
                <w:u w:val="single"/>
              </w:rPr>
            </w:pPr>
          </w:p>
        </w:tc>
        <w:tc>
          <w:tcPr>
            <w:tcW w:w="3117" w:type="dxa"/>
          </w:tcPr>
          <w:p w:rsidR="007E23BB" w:rsidRPr="00502554" w:rsidRDefault="007E23BB" w:rsidP="00C734A6">
            <w:pPr>
              <w:rPr>
                <w:rFonts w:ascii="Arial" w:eastAsia="Times New Roman" w:hAnsi="Arial" w:cs="Arial"/>
                <w:sz w:val="19"/>
                <w:szCs w:val="19"/>
              </w:rPr>
            </w:pPr>
            <w:r w:rsidRPr="00502554">
              <w:rPr>
                <w:rFonts w:ascii="Arial" w:eastAsia="Times New Roman" w:hAnsi="Arial" w:cs="Arial"/>
                <w:b/>
                <w:sz w:val="19"/>
                <w:szCs w:val="19"/>
              </w:rPr>
              <w:t>Indoor Ventilation:</w:t>
            </w:r>
            <w:r w:rsidRPr="00502554">
              <w:rPr>
                <w:rFonts w:ascii="Arial" w:eastAsia="Times New Roman" w:hAnsi="Arial" w:cs="Arial"/>
                <w:sz w:val="19"/>
                <w:szCs w:val="19"/>
              </w:rPr>
              <w:t xml:space="preserve"> All spaces have outdoor air provided in accordance with ASHRAE 62.1 Standards (Ventilation for Acceptable Indoor Air Quality).</w:t>
            </w:r>
          </w:p>
          <w:p w:rsidR="007E23BB" w:rsidRPr="00502554" w:rsidRDefault="007E23BB" w:rsidP="00C734A6">
            <w:pPr>
              <w:rPr>
                <w:rFonts w:ascii="Arial" w:hAnsi="Arial" w:cs="Arial"/>
                <w:b/>
                <w:sz w:val="19"/>
                <w:szCs w:val="19"/>
                <w:u w:val="single"/>
              </w:rPr>
            </w:pPr>
          </w:p>
        </w:tc>
        <w:tc>
          <w:tcPr>
            <w:tcW w:w="3117" w:type="dxa"/>
            <w:shd w:val="clear" w:color="auto" w:fill="D0CECE" w:themeFill="background2" w:themeFillShade="E6"/>
          </w:tcPr>
          <w:p w:rsidR="007E23BB" w:rsidRPr="00502554" w:rsidRDefault="007E23BB" w:rsidP="00C734A6">
            <w:pPr>
              <w:rPr>
                <w:rFonts w:ascii="Arial" w:eastAsia="Times New Roman" w:hAnsi="Arial" w:cs="Arial"/>
                <w:sz w:val="19"/>
                <w:szCs w:val="19"/>
              </w:rPr>
            </w:pPr>
            <w:r w:rsidRPr="00502554">
              <w:rPr>
                <w:rFonts w:ascii="Arial" w:eastAsia="Times New Roman" w:hAnsi="Arial" w:cs="Arial"/>
                <w:b/>
                <w:sz w:val="19"/>
                <w:szCs w:val="19"/>
              </w:rPr>
              <w:t>Daylighting &amp; Views</w:t>
            </w:r>
            <w:r w:rsidRPr="00502554">
              <w:rPr>
                <w:rFonts w:ascii="Arial" w:eastAsia="Times New Roman" w:hAnsi="Arial" w:cs="Arial"/>
                <w:sz w:val="19"/>
                <w:szCs w:val="19"/>
              </w:rPr>
              <w:t>: More than 90</w:t>
            </w:r>
            <w:r w:rsidR="00210DA1">
              <w:rPr>
                <w:rFonts w:ascii="Arial" w:eastAsia="Times New Roman" w:hAnsi="Arial" w:cs="Arial"/>
                <w:sz w:val="19"/>
                <w:szCs w:val="19"/>
              </w:rPr>
              <w:t xml:space="preserve"> percent</w:t>
            </w:r>
            <w:r w:rsidRPr="00502554">
              <w:rPr>
                <w:rFonts w:ascii="Arial" w:eastAsia="Times New Roman" w:hAnsi="Arial" w:cs="Arial"/>
                <w:sz w:val="19"/>
                <w:szCs w:val="19"/>
              </w:rPr>
              <w:t xml:space="preserve"> of all open office/office areas have access to natural daylight &amp; exterior views.</w:t>
            </w:r>
          </w:p>
          <w:p w:rsidR="007E23BB" w:rsidRPr="00502554" w:rsidRDefault="007E23BB" w:rsidP="00C734A6">
            <w:pPr>
              <w:rPr>
                <w:rFonts w:ascii="Arial" w:hAnsi="Arial" w:cs="Arial"/>
                <w:b/>
                <w:sz w:val="19"/>
                <w:szCs w:val="19"/>
                <w:u w:val="single"/>
              </w:rPr>
            </w:pPr>
          </w:p>
        </w:tc>
      </w:tr>
      <w:tr w:rsidR="007E23BB" w:rsidRPr="00502554" w:rsidTr="00D31F44">
        <w:tc>
          <w:tcPr>
            <w:tcW w:w="3116" w:type="dxa"/>
          </w:tcPr>
          <w:p w:rsidR="007E23BB" w:rsidRPr="00502554" w:rsidRDefault="007E23BB" w:rsidP="00C734A6">
            <w:pPr>
              <w:rPr>
                <w:rFonts w:ascii="Arial" w:hAnsi="Arial" w:cs="Arial"/>
                <w:b/>
                <w:sz w:val="19"/>
                <w:szCs w:val="19"/>
              </w:rPr>
            </w:pPr>
            <w:r w:rsidRPr="00502554">
              <w:rPr>
                <w:rFonts w:ascii="Arial" w:eastAsia="Times New Roman" w:hAnsi="Arial" w:cs="Arial"/>
                <w:b/>
                <w:sz w:val="19"/>
                <w:szCs w:val="19"/>
              </w:rPr>
              <w:t xml:space="preserve">Filtered water: </w:t>
            </w:r>
            <w:r w:rsidRPr="00502554">
              <w:rPr>
                <w:rFonts w:ascii="Arial" w:eastAsia="Times New Roman" w:hAnsi="Arial" w:cs="Arial"/>
                <w:sz w:val="19"/>
                <w:szCs w:val="19"/>
              </w:rPr>
              <w:t>Bottle filling stations are provided at the drinking fountains, and filtered water stations are provided in each kitchenette.</w:t>
            </w:r>
            <w:r w:rsidRPr="00502554">
              <w:rPr>
                <w:rFonts w:ascii="Arial" w:eastAsia="Times New Roman" w:hAnsi="Arial" w:cs="Arial"/>
                <w:b/>
                <w:sz w:val="19"/>
                <w:szCs w:val="19"/>
              </w:rPr>
              <w:t xml:space="preserve"> </w:t>
            </w:r>
          </w:p>
          <w:p w:rsidR="007E23BB" w:rsidRPr="00502554" w:rsidRDefault="007E23BB" w:rsidP="00C734A6">
            <w:pPr>
              <w:rPr>
                <w:rFonts w:ascii="Arial" w:hAnsi="Arial" w:cs="Arial"/>
                <w:b/>
                <w:sz w:val="19"/>
                <w:szCs w:val="19"/>
                <w:u w:val="single"/>
              </w:rPr>
            </w:pPr>
          </w:p>
        </w:tc>
        <w:tc>
          <w:tcPr>
            <w:tcW w:w="3117" w:type="dxa"/>
            <w:shd w:val="clear" w:color="auto" w:fill="D0CECE" w:themeFill="background2" w:themeFillShade="E6"/>
          </w:tcPr>
          <w:p w:rsidR="007E23BB" w:rsidRPr="00502554" w:rsidRDefault="007E23BB" w:rsidP="00C734A6">
            <w:pPr>
              <w:rPr>
                <w:rFonts w:ascii="Arial" w:hAnsi="Arial" w:cs="Arial"/>
                <w:b/>
                <w:sz w:val="19"/>
                <w:szCs w:val="19"/>
              </w:rPr>
            </w:pPr>
            <w:r w:rsidRPr="00502554">
              <w:rPr>
                <w:rFonts w:ascii="Arial" w:eastAsia="Times New Roman" w:hAnsi="Arial" w:cs="Arial"/>
                <w:b/>
                <w:sz w:val="19"/>
                <w:szCs w:val="19"/>
              </w:rPr>
              <w:t>Ergonomic Furniture:</w:t>
            </w:r>
            <w:r w:rsidRPr="00502554">
              <w:rPr>
                <w:rFonts w:ascii="Arial" w:hAnsi="Arial" w:cs="Arial"/>
                <w:sz w:val="19"/>
                <w:szCs w:val="19"/>
              </w:rPr>
              <w:t xml:space="preserve"> 100 percent of the desks are sit</w:t>
            </w:r>
            <w:r w:rsidR="00655106" w:rsidRPr="00502554">
              <w:rPr>
                <w:rFonts w:ascii="Arial" w:hAnsi="Arial" w:cs="Arial"/>
                <w:sz w:val="19"/>
                <w:szCs w:val="19"/>
              </w:rPr>
              <w:t>-to-</w:t>
            </w:r>
            <w:r w:rsidRPr="00502554">
              <w:rPr>
                <w:rFonts w:ascii="Arial" w:hAnsi="Arial" w:cs="Arial"/>
                <w:sz w:val="19"/>
                <w:szCs w:val="19"/>
              </w:rPr>
              <w:t>stand, provided for employee comfort.</w:t>
            </w:r>
          </w:p>
          <w:p w:rsidR="007E23BB" w:rsidRPr="00502554" w:rsidRDefault="007E23BB" w:rsidP="00C734A6">
            <w:pPr>
              <w:rPr>
                <w:rFonts w:ascii="Arial" w:hAnsi="Arial" w:cs="Arial"/>
                <w:b/>
                <w:sz w:val="19"/>
                <w:szCs w:val="19"/>
                <w:u w:val="single"/>
              </w:rPr>
            </w:pPr>
          </w:p>
        </w:tc>
        <w:tc>
          <w:tcPr>
            <w:tcW w:w="3117" w:type="dxa"/>
          </w:tcPr>
          <w:p w:rsidR="007E23BB" w:rsidRPr="00502554" w:rsidRDefault="00655106" w:rsidP="00C734A6">
            <w:pPr>
              <w:rPr>
                <w:rFonts w:ascii="Arial" w:hAnsi="Arial" w:cs="Arial"/>
                <w:b/>
                <w:sz w:val="19"/>
                <w:szCs w:val="19"/>
                <w:u w:val="single"/>
              </w:rPr>
            </w:pPr>
            <w:r w:rsidRPr="00502554">
              <w:rPr>
                <w:rFonts w:ascii="Arial" w:eastAsia="Times New Roman" w:hAnsi="Arial" w:cs="Arial"/>
                <w:b/>
                <w:sz w:val="19"/>
                <w:szCs w:val="19"/>
              </w:rPr>
              <w:t xml:space="preserve">Wellness Rooms </w:t>
            </w:r>
            <w:r w:rsidR="007E23BB" w:rsidRPr="00502554">
              <w:rPr>
                <w:rFonts w:ascii="Arial" w:hAnsi="Arial" w:cs="Arial"/>
                <w:sz w:val="19"/>
                <w:szCs w:val="19"/>
              </w:rPr>
              <w:t>have been provided for employee use ranging from general wellness and religious</w:t>
            </w:r>
            <w:r w:rsidRPr="00502554">
              <w:rPr>
                <w:rFonts w:ascii="Arial" w:hAnsi="Arial" w:cs="Arial"/>
                <w:sz w:val="19"/>
                <w:szCs w:val="19"/>
              </w:rPr>
              <w:t xml:space="preserve"> practice to new mother’s rooms.</w:t>
            </w:r>
          </w:p>
        </w:tc>
      </w:tr>
    </w:tbl>
    <w:p w:rsidR="00C60552" w:rsidRDefault="00C60552" w:rsidP="00C734A6"/>
    <w:sectPr w:rsidR="00C60552" w:rsidSect="00502554">
      <w:headerReference w:type="default" r:id="rId7"/>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F85" w:rsidRDefault="00113F85" w:rsidP="008506B7">
      <w:pPr>
        <w:spacing w:after="0" w:line="240" w:lineRule="auto"/>
      </w:pPr>
      <w:r>
        <w:separator/>
      </w:r>
    </w:p>
  </w:endnote>
  <w:endnote w:type="continuationSeparator" w:id="0">
    <w:p w:rsidR="00113F85" w:rsidRDefault="00113F85" w:rsidP="00850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F85" w:rsidRDefault="00113F85" w:rsidP="008506B7">
      <w:pPr>
        <w:spacing w:after="0" w:line="240" w:lineRule="auto"/>
      </w:pPr>
      <w:r>
        <w:separator/>
      </w:r>
    </w:p>
  </w:footnote>
  <w:footnote w:type="continuationSeparator" w:id="0">
    <w:p w:rsidR="00113F85" w:rsidRDefault="00113F85" w:rsidP="00850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6B7" w:rsidRDefault="008506B7">
    <w:pPr>
      <w:pStyle w:val="Header"/>
    </w:pPr>
    <w:r>
      <w:rPr>
        <w:noProof/>
        <w:color w:val="0000FF"/>
      </w:rPr>
      <w:drawing>
        <wp:inline distT="0" distB="0" distL="0" distR="0" wp14:anchorId="25409004" wp14:editId="38E1A15A">
          <wp:extent cx="1127760" cy="609600"/>
          <wp:effectExtent l="0" t="0" r="0" b="0"/>
          <wp:docPr id="5" name="Picture 5" descr="http://www.cargill.com/wcm/groups/public/@ss-assets/@ccom/documents/image/ccom_r2_cargill_logo_reg.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rgill.com/wcm/groups/public/@ss-assets/@ccom/documents/image/ccom_r2_cargill_logo_reg.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76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691E"/>
    <w:multiLevelType w:val="hybridMultilevel"/>
    <w:tmpl w:val="D23AAD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A1371"/>
    <w:multiLevelType w:val="hybridMultilevel"/>
    <w:tmpl w:val="151AE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500185"/>
    <w:multiLevelType w:val="hybridMultilevel"/>
    <w:tmpl w:val="DF926B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33526"/>
    <w:multiLevelType w:val="hybridMultilevel"/>
    <w:tmpl w:val="7AF812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3F3F8B"/>
    <w:multiLevelType w:val="hybridMultilevel"/>
    <w:tmpl w:val="1222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14F08"/>
    <w:multiLevelType w:val="hybridMultilevel"/>
    <w:tmpl w:val="3390A9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E62858"/>
    <w:multiLevelType w:val="hybridMultilevel"/>
    <w:tmpl w:val="C8D4F7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66"/>
    <w:rsid w:val="0008151C"/>
    <w:rsid w:val="00113F85"/>
    <w:rsid w:val="001E1B80"/>
    <w:rsid w:val="00210DA1"/>
    <w:rsid w:val="002221F5"/>
    <w:rsid w:val="002B0566"/>
    <w:rsid w:val="003C76A7"/>
    <w:rsid w:val="00502554"/>
    <w:rsid w:val="00507E83"/>
    <w:rsid w:val="00655106"/>
    <w:rsid w:val="007E23BB"/>
    <w:rsid w:val="008506B7"/>
    <w:rsid w:val="009A76DA"/>
    <w:rsid w:val="00C60552"/>
    <w:rsid w:val="00C734A6"/>
    <w:rsid w:val="00D31F44"/>
    <w:rsid w:val="00D76003"/>
    <w:rsid w:val="00E01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7F9A"/>
  <w15:chartTrackingRefBased/>
  <w15:docId w15:val="{131508B5-EC17-4240-8023-9858D707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E8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6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6B7"/>
    <w:rPr>
      <w:rFonts w:eastAsiaTheme="minorEastAsia"/>
      <w:lang w:eastAsia="zh-CN"/>
    </w:rPr>
  </w:style>
  <w:style w:type="paragraph" w:styleId="Footer">
    <w:name w:val="footer"/>
    <w:basedOn w:val="Normal"/>
    <w:link w:val="FooterChar"/>
    <w:uiPriority w:val="99"/>
    <w:unhideWhenUsed/>
    <w:rsid w:val="00850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6B7"/>
    <w:rPr>
      <w:rFonts w:eastAsiaTheme="minorEastAsia"/>
      <w:lang w:eastAsia="zh-CN"/>
    </w:rPr>
  </w:style>
  <w:style w:type="paragraph" w:styleId="ListParagraph">
    <w:name w:val="List Paragraph"/>
    <w:basedOn w:val="Normal"/>
    <w:uiPriority w:val="34"/>
    <w:qFormat/>
    <w:rsid w:val="0008151C"/>
    <w:pPr>
      <w:ind w:left="720"/>
      <w:contextualSpacing/>
    </w:pPr>
  </w:style>
  <w:style w:type="table" w:styleId="TableGrid">
    <w:name w:val="Table Grid"/>
    <w:basedOn w:val="TableNormal"/>
    <w:uiPriority w:val="39"/>
    <w:rsid w:val="00D76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argill.com/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Dorow, Jason</dc:creator>
  <cp:keywords/>
  <dc:description/>
  <cp:lastModifiedBy>Scott, Sandi</cp:lastModifiedBy>
  <cp:revision>2</cp:revision>
  <dcterms:created xsi:type="dcterms:W3CDTF">2018-11-30T13:37:00Z</dcterms:created>
  <dcterms:modified xsi:type="dcterms:W3CDTF">2018-11-30T13:37:00Z</dcterms:modified>
</cp:coreProperties>
</file>